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B0" w:rsidRPr="002F0EAF" w:rsidRDefault="00703EB0" w:rsidP="00703EB0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010/2021-</w:t>
      </w:r>
      <w:r w:rsidRPr="00F70990">
        <w:rPr>
          <w:rFonts w:ascii="Times New Roman" w:hAnsi="Times New Roman" w:cs="Times New Roman"/>
          <w:sz w:val="24"/>
          <w:szCs w:val="24"/>
        </w:rPr>
        <w:t xml:space="preserve"> </w:t>
      </w:r>
      <w:r w:rsidRPr="002F0EAF">
        <w:rPr>
          <w:rFonts w:ascii="Times New Roman" w:hAnsi="Times New Roman" w:cs="Times New Roman"/>
          <w:sz w:val="24"/>
          <w:szCs w:val="24"/>
        </w:rPr>
        <w:t xml:space="preserve">Comissão de Orçamento Finanças e Contas Públicas e </w:t>
      </w:r>
      <w:proofErr w:type="spellStart"/>
      <w:r w:rsidRPr="002F0EAF">
        <w:rPr>
          <w:rFonts w:ascii="Times New Roman" w:hAnsi="Times New Roman" w:cs="Times New Roman"/>
          <w:sz w:val="24"/>
          <w:szCs w:val="24"/>
        </w:rPr>
        <w:t>Infraestrutura</w:t>
      </w:r>
      <w:proofErr w:type="spellEnd"/>
      <w:r w:rsidRPr="002F0EAF">
        <w:rPr>
          <w:rFonts w:ascii="Times New Roman" w:hAnsi="Times New Roman" w:cs="Times New Roman"/>
          <w:sz w:val="24"/>
          <w:szCs w:val="24"/>
        </w:rPr>
        <w:t xml:space="preserve"> e Desenvolvimento.</w:t>
      </w:r>
    </w:p>
    <w:p w:rsidR="005D4E1B" w:rsidRDefault="005D4E1B"/>
    <w:p w:rsidR="00703EB0" w:rsidRPr="00703EB0" w:rsidRDefault="00703EB0" w:rsidP="00703EB0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</w:t>
      </w:r>
      <w:r w:rsidRPr="00703EB0">
        <w:rPr>
          <w:rFonts w:ascii="Times New Roman" w:hAnsi="Times New Roman" w:cs="Times New Roman"/>
          <w:sz w:val="24"/>
          <w:szCs w:val="24"/>
        </w:rPr>
        <w:t xml:space="preserve">décimo primeiro dia do mês de maio do ano de </w:t>
      </w:r>
      <w:r>
        <w:rPr>
          <w:rFonts w:ascii="Times New Roman" w:hAnsi="Times New Roman" w:cs="Times New Roman"/>
          <w:sz w:val="24"/>
          <w:szCs w:val="24"/>
        </w:rPr>
        <w:t>dois mil e vinte um</w:t>
      </w:r>
      <w:r w:rsidR="00AA2E31">
        <w:rPr>
          <w:rFonts w:ascii="Times New Roman" w:hAnsi="Times New Roman" w:cs="Times New Roman"/>
          <w:sz w:val="24"/>
          <w:szCs w:val="24"/>
        </w:rPr>
        <w:t xml:space="preserve">, </w:t>
      </w:r>
      <w:r w:rsidRPr="00703EB0">
        <w:rPr>
          <w:rFonts w:ascii="Times New Roman" w:hAnsi="Times New Roman" w:cs="Times New Roman"/>
          <w:sz w:val="24"/>
          <w:szCs w:val="24"/>
        </w:rPr>
        <w:t xml:space="preserve">às </w:t>
      </w:r>
      <w:r>
        <w:rPr>
          <w:rFonts w:ascii="Times New Roman" w:hAnsi="Times New Roman" w:cs="Times New Roman"/>
          <w:sz w:val="24"/>
          <w:szCs w:val="24"/>
        </w:rPr>
        <w:t xml:space="preserve">dezoito horas e trinta minutos, </w:t>
      </w:r>
      <w:r w:rsidRPr="00703EB0">
        <w:rPr>
          <w:rFonts w:ascii="Times New Roman" w:hAnsi="Times New Roman" w:cs="Times New Roman"/>
          <w:sz w:val="24"/>
          <w:szCs w:val="24"/>
        </w:rPr>
        <w:t xml:space="preserve">reuniram-se nas dependências da Câmara de Vereadores os membros </w:t>
      </w:r>
      <w:r w:rsidRPr="002F0EAF">
        <w:rPr>
          <w:rFonts w:ascii="Times New Roman" w:hAnsi="Times New Roman" w:cs="Times New Roman"/>
          <w:sz w:val="24"/>
          <w:szCs w:val="24"/>
        </w:rPr>
        <w:t xml:space="preserve">Comissão de Orçamento Finanças e Contas Públicas e </w:t>
      </w:r>
      <w:proofErr w:type="spellStart"/>
      <w:r w:rsidRPr="002F0EAF">
        <w:rPr>
          <w:rFonts w:ascii="Times New Roman" w:hAnsi="Times New Roman" w:cs="Times New Roman"/>
          <w:sz w:val="24"/>
          <w:szCs w:val="24"/>
        </w:rPr>
        <w:t>Infraestrutura</w:t>
      </w:r>
      <w:proofErr w:type="spellEnd"/>
      <w:r w:rsidRPr="002F0EAF">
        <w:rPr>
          <w:rFonts w:ascii="Times New Roman" w:hAnsi="Times New Roman" w:cs="Times New Roman"/>
          <w:sz w:val="24"/>
          <w:szCs w:val="24"/>
        </w:rPr>
        <w:t xml:space="preserve"> e Desenvolvimento</w:t>
      </w:r>
      <w:r w:rsidRPr="00703EB0">
        <w:rPr>
          <w:rFonts w:ascii="Times New Roman" w:hAnsi="Times New Roman" w:cs="Times New Roman"/>
          <w:sz w:val="24"/>
          <w:szCs w:val="24"/>
        </w:rPr>
        <w:t xml:space="preserve"> para nos termos do parágrafo 5º do Artigo 144 do Regimento Interno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3EB0">
        <w:rPr>
          <w:rFonts w:ascii="Times New Roman" w:hAnsi="Times New Roman" w:cs="Times New Roman"/>
          <w:sz w:val="24"/>
          <w:szCs w:val="24"/>
        </w:rPr>
        <w:t xml:space="preserve"> superada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03EB0">
        <w:rPr>
          <w:rFonts w:ascii="Times New Roman" w:hAnsi="Times New Roman" w:cs="Times New Roman"/>
          <w:sz w:val="24"/>
          <w:szCs w:val="24"/>
        </w:rPr>
        <w:t>análise prelimi</w:t>
      </w:r>
      <w:r>
        <w:rPr>
          <w:rFonts w:ascii="Times New Roman" w:hAnsi="Times New Roman" w:cs="Times New Roman"/>
          <w:sz w:val="24"/>
          <w:szCs w:val="24"/>
        </w:rPr>
        <w:t>nar do projeto de lei nº 019/</w:t>
      </w:r>
      <w:r w:rsidRPr="00703EB0">
        <w:rPr>
          <w:rFonts w:ascii="Times New Roman" w:hAnsi="Times New Roman" w:cs="Times New Roman"/>
          <w:sz w:val="24"/>
          <w:szCs w:val="24"/>
        </w:rPr>
        <w:t xml:space="preserve">2021 que trata o </w:t>
      </w:r>
      <w:r>
        <w:rPr>
          <w:rFonts w:ascii="Times New Roman" w:hAnsi="Times New Roman" w:cs="Times New Roman"/>
          <w:sz w:val="24"/>
          <w:szCs w:val="24"/>
        </w:rPr>
        <w:t>plano plurianual que trata o tr</w:t>
      </w:r>
      <w:r w:rsidRPr="00703EB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ê</w:t>
      </w:r>
      <w:r w:rsidRPr="00703EB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03EB0">
        <w:rPr>
          <w:rFonts w:ascii="Times New Roman" w:hAnsi="Times New Roman" w:cs="Times New Roman"/>
          <w:sz w:val="24"/>
          <w:szCs w:val="24"/>
        </w:rPr>
        <w:t>o de 2022 a 2025 para elaborar agenda de atividades de instrução colocada em discussão, foi definido pelos membros da comissão, que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703EB0">
        <w:rPr>
          <w:rFonts w:ascii="Times New Roman" w:hAnsi="Times New Roman" w:cs="Times New Roman"/>
          <w:sz w:val="24"/>
          <w:szCs w:val="24"/>
        </w:rPr>
        <w:t xml:space="preserve"> audiência pública será realizada no dia 27 de maio de 2021 no plenário da Câmara Municipal de Vereadores audiência esta que será transmitida via redes s</w:t>
      </w:r>
      <w:r>
        <w:rPr>
          <w:rFonts w:ascii="Times New Roman" w:hAnsi="Times New Roman" w:cs="Times New Roman"/>
          <w:sz w:val="24"/>
          <w:szCs w:val="24"/>
        </w:rPr>
        <w:t>ociais da Câmara de Vereadores o</w:t>
      </w:r>
      <w:r w:rsidRPr="00703EB0">
        <w:rPr>
          <w:rFonts w:ascii="Times New Roman" w:hAnsi="Times New Roman" w:cs="Times New Roman"/>
          <w:sz w:val="24"/>
          <w:szCs w:val="24"/>
        </w:rPr>
        <w:t xml:space="preserve">nde serão </w:t>
      </w:r>
      <w:r w:rsidR="00AA2E31" w:rsidRPr="00703EB0">
        <w:rPr>
          <w:rFonts w:ascii="Times New Roman" w:hAnsi="Times New Roman" w:cs="Times New Roman"/>
          <w:sz w:val="24"/>
          <w:szCs w:val="24"/>
        </w:rPr>
        <w:t>recepcionadas</w:t>
      </w:r>
      <w:r w:rsidRPr="00703EB0">
        <w:rPr>
          <w:rFonts w:ascii="Times New Roman" w:hAnsi="Times New Roman" w:cs="Times New Roman"/>
          <w:sz w:val="24"/>
          <w:szCs w:val="24"/>
        </w:rPr>
        <w:t xml:space="preserve"> as propostas de cidad</w:t>
      </w:r>
      <w:r>
        <w:rPr>
          <w:rFonts w:ascii="Times New Roman" w:hAnsi="Times New Roman" w:cs="Times New Roman"/>
          <w:sz w:val="24"/>
          <w:szCs w:val="24"/>
        </w:rPr>
        <w:t>ão</w:t>
      </w:r>
      <w:r w:rsidRPr="00703EB0">
        <w:rPr>
          <w:rFonts w:ascii="Times New Roman" w:hAnsi="Times New Roman" w:cs="Times New Roman"/>
          <w:sz w:val="24"/>
          <w:szCs w:val="24"/>
        </w:rPr>
        <w:t>s e entidades nos termos do inciso 2º do parágrafo 5º do Regimento Interno. Foi definido que as propostas poderão ser encaminhadas até o dia da audiência pública no e-mail da câmara, ou através de requerimentos protocolado junto à secretaria da Câmara Municipal</w:t>
      </w:r>
      <w:r>
        <w:rPr>
          <w:rFonts w:ascii="Times New Roman" w:hAnsi="Times New Roman" w:cs="Times New Roman"/>
          <w:sz w:val="24"/>
          <w:szCs w:val="24"/>
        </w:rPr>
        <w:t>. Foi determinado que fosse dada a</w:t>
      </w:r>
      <w:r w:rsidRPr="00703EB0">
        <w:rPr>
          <w:rFonts w:ascii="Times New Roman" w:hAnsi="Times New Roman" w:cs="Times New Roman"/>
          <w:sz w:val="24"/>
          <w:szCs w:val="24"/>
        </w:rPr>
        <w:t>mpla di</w:t>
      </w:r>
      <w:r>
        <w:rPr>
          <w:rFonts w:ascii="Times New Roman" w:hAnsi="Times New Roman" w:cs="Times New Roman"/>
          <w:sz w:val="24"/>
          <w:szCs w:val="24"/>
        </w:rPr>
        <w:t xml:space="preserve">vulgação da data da audiência e a </w:t>
      </w:r>
      <w:r w:rsidRPr="00703EB0">
        <w:rPr>
          <w:rFonts w:ascii="Times New Roman" w:hAnsi="Times New Roman" w:cs="Times New Roman"/>
          <w:sz w:val="24"/>
          <w:szCs w:val="24"/>
        </w:rPr>
        <w:t>forma como as emendas deverão ser apresentadas, devendo ser publicado edital nesse sentido. Foi definido que após a realização de audiência</w:t>
      </w:r>
      <w:r>
        <w:rPr>
          <w:rFonts w:ascii="Times New Roman" w:hAnsi="Times New Roman" w:cs="Times New Roman"/>
          <w:sz w:val="24"/>
          <w:szCs w:val="24"/>
        </w:rPr>
        <w:t xml:space="preserve"> pública ficará aberto prazo </w:t>
      </w:r>
      <w:r w:rsidRPr="00703EB0">
        <w:rPr>
          <w:rFonts w:ascii="Times New Roman" w:hAnsi="Times New Roman" w:cs="Times New Roman"/>
          <w:sz w:val="24"/>
          <w:szCs w:val="24"/>
        </w:rPr>
        <w:t>até 31 de Maio para que os vereadores que querendo apresente emend</w:t>
      </w:r>
      <w:r>
        <w:rPr>
          <w:rFonts w:ascii="Times New Roman" w:hAnsi="Times New Roman" w:cs="Times New Roman"/>
          <w:sz w:val="24"/>
          <w:szCs w:val="24"/>
        </w:rPr>
        <w:t>as nos termos do inciso terceiro</w:t>
      </w:r>
      <w:r w:rsidRPr="00703EB0">
        <w:rPr>
          <w:rFonts w:ascii="Times New Roman" w:hAnsi="Times New Roman" w:cs="Times New Roman"/>
          <w:sz w:val="24"/>
          <w:szCs w:val="24"/>
        </w:rPr>
        <w:t xml:space="preserve"> e quarta do parágrafo quinto antes referido. Ficou esclarecido que a comissão após o encerramento do prazo para os vereadores apresentaram as respectivas emendas,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703EB0">
        <w:rPr>
          <w:rFonts w:ascii="Times New Roman" w:hAnsi="Times New Roman" w:cs="Times New Roman"/>
          <w:sz w:val="24"/>
          <w:szCs w:val="24"/>
        </w:rPr>
        <w:t>analisar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03EB0">
        <w:rPr>
          <w:rFonts w:ascii="Times New Roman" w:hAnsi="Times New Roman" w:cs="Times New Roman"/>
          <w:sz w:val="24"/>
          <w:szCs w:val="24"/>
        </w:rPr>
        <w:t xml:space="preserve">juntamente com </w:t>
      </w:r>
      <w:r>
        <w:rPr>
          <w:rFonts w:ascii="Times New Roman" w:hAnsi="Times New Roman" w:cs="Times New Roman"/>
          <w:sz w:val="24"/>
          <w:szCs w:val="24"/>
        </w:rPr>
        <w:t>as eventuais emendas dos cidadão</w:t>
      </w:r>
      <w:r w:rsidRPr="00703EB0">
        <w:rPr>
          <w:rFonts w:ascii="Times New Roman" w:hAnsi="Times New Roman" w:cs="Times New Roman"/>
          <w:sz w:val="24"/>
          <w:szCs w:val="24"/>
        </w:rPr>
        <w:t xml:space="preserve">s e entidades no prazo de 10 dias nos termos do parágrafo décimo quinto do Artigo 144 do Regimento Interno, seguindo-se </w:t>
      </w:r>
      <w:r>
        <w:rPr>
          <w:rFonts w:ascii="Times New Roman" w:hAnsi="Times New Roman" w:cs="Times New Roman"/>
          <w:sz w:val="24"/>
          <w:szCs w:val="24"/>
        </w:rPr>
        <w:t>os demais trâmites legais. Sem mais n</w:t>
      </w:r>
      <w:r w:rsidRPr="00703EB0">
        <w:rPr>
          <w:rFonts w:ascii="Times New Roman" w:hAnsi="Times New Roman" w:cs="Times New Roman"/>
          <w:sz w:val="24"/>
          <w:szCs w:val="24"/>
        </w:rPr>
        <w:t>ada a declarar</w:t>
      </w:r>
      <w:r>
        <w:rPr>
          <w:rFonts w:ascii="Times New Roman" w:hAnsi="Times New Roman" w:cs="Times New Roman"/>
          <w:sz w:val="24"/>
          <w:szCs w:val="24"/>
        </w:rPr>
        <w:t>, encerro a</w:t>
      </w:r>
      <w:r w:rsidRPr="00703EB0">
        <w:rPr>
          <w:rFonts w:ascii="Times New Roman" w:hAnsi="Times New Roman" w:cs="Times New Roman"/>
          <w:sz w:val="24"/>
          <w:szCs w:val="24"/>
        </w:rPr>
        <w:t xml:space="preserve"> presente reunião determinando-se a elaboração e publicação do referido edital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03EB0" w:rsidRPr="00703EB0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703EB0"/>
    <w:rsid w:val="00091B3D"/>
    <w:rsid w:val="000A79F6"/>
    <w:rsid w:val="002735E4"/>
    <w:rsid w:val="00277312"/>
    <w:rsid w:val="00295B94"/>
    <w:rsid w:val="0039034B"/>
    <w:rsid w:val="005D4E1B"/>
    <w:rsid w:val="005E1DB4"/>
    <w:rsid w:val="00693475"/>
    <w:rsid w:val="006E138A"/>
    <w:rsid w:val="00703EB0"/>
    <w:rsid w:val="00795214"/>
    <w:rsid w:val="007D6452"/>
    <w:rsid w:val="0085276D"/>
    <w:rsid w:val="008E6C4B"/>
    <w:rsid w:val="00A85A30"/>
    <w:rsid w:val="00AA2E31"/>
    <w:rsid w:val="00B33F8B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2</cp:revision>
  <dcterms:created xsi:type="dcterms:W3CDTF">2021-10-20T16:38:00Z</dcterms:created>
  <dcterms:modified xsi:type="dcterms:W3CDTF">2021-10-20T16:48:00Z</dcterms:modified>
</cp:coreProperties>
</file>